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November 13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>
          <w:lang w:val="en-CA"/>
        </w:rPr>
      </w:pPr>
      <w:r>
        <w:rPr>
          <w:lang w:val="en-CA"/>
        </w:rPr>
        <w:t>VERY IMPORTANT - NO MEETING ON THE 20TH, - OUR ANNIVERSARY CELEBRATION IS ON WEDNESDAY NOV 22/17 AT THE GRAND HOTEL, MINGLE AT 6, DINNER AT 7.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Attendees: Ernie, Deb, Mike, Marion, Teresa, Bernie, Kathy, David, Eric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Oh Canada, Prayer and Happy Dollars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Ticket ending with 9550 was pulled, Deb Shaw..........she pulled the King of Diamonds. Pot worth $402.50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Primary Financials done for the Womens Fair.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VERY IMPORTANT AGAIN - ERNIE NEEDS TO KNOW IF YOU SELL MORE TICKETS TO THE ANNIVERSARY CELEBRATION. HE HAS TO GET THE NUMBERS TO THE HOTEL. CALL HIM AT 613 277 3108. THANKS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Post Mortem for Womens Fair to be arranged.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Ernie and Teresa to get together and deliver snowsuits to Smiths Falls.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Coming Fast - Seniors Christmas Dinner - to be held Monday Dec 4 at 6 pm at the arena.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Our guest speaker had to cancel tonight. Mike will re-schedule at a later date.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Adjourned.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